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190</w:t>
      </w:r>
    </w:p>
    <w:p>
      <w:r>
        <w:t>Bundesgericht (BGE), 1987-05-05, DE</w:t>
      </w:r>
    </w:p>
    <w:p>
      <w:r>
        <w:rPr>
          <w:b/>
        </w:rPr>
        <w:t xml:space="preserve">Quelle: </w:t>
      </w:r>
      <w:r>
        <w:t>https://mcp.opencaselaw.ch/entscheid/bge_113 II 190</w:t>
      </w:r>
    </w:p>
    <w:p>
      <w:r>
        <w:t>FR: ATF 113 II 190</w:t>
      </w:r>
    </w:p>
    <w:p>
      <w:r>
        <w:t>IT: DTF 113 II 190</w:t>
      </w:r>
    </w:p>
    <w:p>
      <w:pPr>
        <w:pStyle w:val="Heading2"/>
      </w:pPr>
      <w:r>
        <w:t>Regeste</w:t>
      </w:r>
    </w:p>
    <w:p>
      <w:r>
        <w:t>Regeste Urheberrechte an Werken der angewandten Kunst. Unlauterer Wettbewerb. 1. Internationale Streitigkeit aus Urheberrecht: Anwendbares Recht. Aktivlegitimation des Lizenznehmers nach Art. 9 Abs. 2 URG oder nach Vertrag? (E. I/1). 2. Art. 1 Abs. 2 und Art. 5 URG. Möbel können als Werke der angewandten Kunst geschützt sein, wenn über eine rein handwerkmässige oder industrielle Arbeit hinaus eine Leistung erbracht wird, die auf einer selbständigen, schöpferischen Tätigkeit beruht und sich als originell erweist (E. I/2a). 3. Umstände, unter denen dies nach dem Gesamteindruck der Möbel in mehreren Fällen zu bejahen (E. I/2b und c), in einem dagegen wegen Zweifeln zu verneinen ist (E. II/1a). 4. Art. 1 Abs. 1 UWG. Unlauterer Wettbewerb durch sklavische Nachahmung von Möbelstücken, die mit einer Ausnahme sogar urheberrechtlich geschützt sind (E. II/1b). 5. Art. 42 Abs. 2 OR. Schätzung des Schadens aus widerrechtlichen Möbelverkäufen (E. II/2).</w:t>
      </w:r>
    </w:p>
    <w:p>
      <w:pPr>
        <w:pStyle w:val="Heading2"/>
      </w:pPr>
      <w:r>
        <w:t>Volltext</w:t>
      </w:r>
    </w:p>
    <w:p>
      <w:r>
        <w:t>Urteilskopf 113 II 190 36. Urteil der I. Zivilabteilung vom 5. Mai 1987 i.S. Firma X. gegen Firma Z. (Berufung) Regeste Urheberrechte an Werken der angewandten Kunst. Unlauterer Wettbewerb. 1. Internationale Streitigkeit aus Urheberrecht: Anwendbares Recht. Aktivlegitimation des Lizenznehmers nach Art. 9 Abs. 2 URG oder nach Vertrag? (E. I/1). 2. Art. 1 Abs. 2 und Art. 5 URG . Möbel können als Werke der angewandten Kunst geschützt sein, wenn über eine rein handwerkmässige oder industrielle Arbeit hinaus eine Leistung erbracht wird, die auf einer selbständigen, schöpferischen Tätigkeit beruht und sich als originell erweist (E. I/2a). 3. Umstände, unter denen dies nach dem Gesamteindruck der Möbel in mehreren Fällen zu bejahen (E. I/2b und c), in einem dagegen wegen Zweifeln zu verneinen ist (E. II/1a). 4. Art. 1 Abs. 1 UWG . Unlauterer Wettbewerb durch sklavische Nachahmung von Möbelstücken, die mit einer Ausnahme sogar urheberrechtlich geschützt sind (E. II/1b). 5. Art. 42 Abs. 2 OR . Schätzung des Schadens aus widerrechtlichen Möbelverkäufen (E. II/2). Sachverhalt ab Seite 191 BGE 113 II 190 S. 191 A.- Die Firma Z. ist eine Aktiengesellschaft nach italienischem Recht mit Sitz in Meda/Milano. Sie handelt mit Möbeln, die sie in eigenen Betrieben herstellt. In einigen Ländern hat sie Tochtergesellschaften, in anderen lässt sie die Möbel durch Lizenznehmer herstellen und vertreiben. In der Schweiz ist der Vertrieb ihrer Möbel Sache von Einzelhändlern. Die Firma Z. will aufgrund eines Lizenzvertrages ausschliesslich zur Herstellung und zum Vertrieb bestimmter Le Corbusier-Möbel berechtigt sein. Diese Möbel gehen auf Modelle zurück, die aus einer neuartigen Entwicklung in der Architektur und der Möbelkunst der 20er Jahre entstanden sind und dem unter dem Pseudonym Le Corbusier berühmt gewordenen Architekten Charles Edouard Jeanneret, dessen Vetter Pierre Jeanneret und Frau Charlotte Perriand zugeschrieben werden. Die seit Ende 1977 bestehende Firma X. in Bern handelt als Grossistin ebenfalls mit Möbeln. Sie beliefert insbesondere eine Einzelfirma, die ihrer Verwaltungsratspräsidentin und Alleinaktionärin Frau W. gehört, ferner einige Grossfirmen wie z.B. Möbel Pfister und Globus. B.- Im Juli 1982 klagte die Firma Z. gegen die Firma X. wegen Verletzung von Urheberrechten, eventuell wegen unlauteren Wettbewerbs. Sie warf der Beklagten vor, Nachahmungen von sieben Le Corbusier-Möbeln, nämlich von einem Stuhl (LC 1), zwei Polstersesseln (LC 2 und 3), drei Sofa-Versionen (LC 2 und 3) und von einem Liegestuhl (LC 4) anzubieten und zu vertreiben. Die Klägerin beantragte dem Appellationshof des Kantons Bern, der BGE 113 II 190 S. 192 Beklagten den Handel mit solchen Möbeln bei Strafe zu verbieten und sie zu Schadenersatz zu verurteilen, den sie im Verfahren auf Fr. 250'000.-- bezifferte. Der Appellationshof holte von Prof. P. ein Gutachten ein und liess den behaupteten Schaden durch einen Experten abklären. In seinem Urteil vom 14. August 1986 hielt er zusammen mit dem Gutachter die streitigen Le Corbusier-Möbel mit Ausnahme des Stuhls LC 1 für urheberrechtlich geschützte Werke der angewandten Kunst, verbot der Beklagten unter Androhung von Strafe, Nachahmungen dieser Möbel feilzuhalten, zu verkaufen oder sonstwie in Verkehr zu bringen und verurteilte sie zu Fr. 70'000.-- Schadenersatz. C.- Gegen dieses Urteil haben beide Parteien Berufung eingelegt. Die Klägerin beantragt, ihr Rechtsbegehren auch in bezug auf den Stuhl LC 1 zu schützen und den vom Appellationshof zugesprochenen Schadenersatz auf Fr. 75'200.-- zu erhöhen oder die Sache insoweit an die Vorinstanz zurückzuweisen. Die Beklagte will die Klage dagegen vollumfänglich abgewiesen wissen. Jede Partei widersetzt sich ausdrücklich den Anträgen der anderen. Erwägungen Das Bundesgericht zieht in Erwägung: I. I.1. Die Beklagte bestreitet die Aktivlegitimation der Klägerin. Sie macht insbesondere geltend, nach dem angefochtenen Urteil seien der Klägerin von der "Fondation Le Corbusier" nur die ausschliessliche Lizenz zum Herstellen und zum Vertrieb der streitigen LC-Möbelstücke erteilt, aber keine Rechte übertragen worden; sie sei daher nicht Rechtsnachfolgerin der Urheber. Aus dem Lizenzvertrag ergebe sich entgegen der Annahme der Vorinstanz keine Ermächtigung zugunsten der Klägerin, einen Prozess wegen Urheberrechtverletzungen wie ein Inhaber solcher Rechte im eigenen Namen und im eigenen Interesse zu führen; daran ändere selbst die Erklärung nichts, die Frau Charlotte Perriand der Klägerin für einen Prozess in Deutschland ausgestellt habe. Die Trennung der Sachlegitimation und der Prozessführungsbefugnis sei als Prozessstandschaft auch nach der Lehre nur unter besonderen Voraussetzungen zulässig (TROLLER, Immaterialgüterrecht II, 3. Aufl. S. 1017); der Lizenznehmer sei bloss im Zweifel befugt, das geschützte Recht im Namen des Lizenzgebers gegen Verletzungen BGE 113 II 190 S. 193 durch Dritte zu verteidigen (BLUM/PEDRAZZINI, Das schweizerische Patentrecht II, 2. Aufl. S. 506). Die Klägerin habe sich nicht auf eine Abtretung der Befugnisse berufen und dafür auch keine Beweise vorgelegt, den vorliegenden Prozess aber vollumfänglich im eigenen Namen geführt. a) Parteien und Vorinstanz sind im kantonalen Verfahren übereinstimmend davon ausgegangen, dass die Streitigkeit nach schweizerischem Recht in Verbindung mit der Berner Übereinkunft zum Schutze von Werken der Literatur und Kunst (RBÜ) gemäss der am 26. Juni 1948 in Brüssel revidierten Fassung (SR 0.231.13) zu beurteilen ist. Der Appellationshof hält dazu insbesondere fest, dass nicht nur die drei Urheber der streitigen Modelle LC 1 bis LC 4, sondern auch die Stiftung Le Corbusier als ihre Rechtsnachfolgerin sich auf diese Rechtsgrundlagen berufen können, weil zwei der Urheber die schweizerische Staatsbürgerschaft besassen ( Art. 4 Abs. 1 RBÜ ) und Frankreich, wo die streitigen Möbel erstmals an der Pariser Herbstausstellung 1929 gezeigt wurden, als Ursprungsland im Sinn der Übereinkunft anzusehen ist ( Art. 4 Abs. 3 RBÜ ). Die Parteien kommen darauf im Berufungsverfahren zu Recht nicht mehr zurück. Dass im Lizenzvertrag der Klägerin mit der Stiftung Le Corbusier, die ihren Sitz in Paris hat, seit 1971 stets französisches Recht vorbehalten worden ist, steht der Anwendung schweizerischen Rechts nicht entgegen; denn es geht nicht um eine Streitigkeit unter den Vertragsparteien, sondern um eine Auseinandersetzung einer Vertragspartei mit einer Drittfirma, die in der Schweiz gehandelt und die Klägerin angeblich hier geschädigt hat. Die Vorinstanz hatte nur eine materielle Voraussetzung für den Zuspruch des Klagebegehrens, nämlich die Aktivlegitimation der Klägerin ( BGE 107 II 85 E. 2a mit Hinweisen), nach dem Lizenzvertrag zu prüfen. b) Gemäss Art. 9 URG ist das Recht des Urhebers übertragbar (Abs. 1); die Übertragung eines im Urheberrecht enthaltenen Rechtes schliesst die Übertragung anderer Teilrechte indes nicht ein, wenn nichts Gegenteiliges vereinbart ist (Abs. 2). Als übertragen haben nach der gesetzlichen Vermutung also nur die in der Vereinbarung genannten Befugnisse zu gelten. Ob der Lizenznehmer im Falle einer Übertragung von blossen Nutzungsrechten insoweit von Gesetzes wegen auch ein selbständiges Klagerecht erlange, ist umstritten. R. MUTTENZER (Der urheberrechtliche Lizenzvertrag, S. 16 und 31) verneint die Frage, weil das ausschliessliche BGE 113 II 190 S. 194 Nutzungsrecht des Lizenznehmers nur auf der vertraglichen Pflicht des Lizenzgebers beruhe, Dritten dieselbe Benutzung nicht zu gestatten und sich ihrer selbst zu enthalten. M. RITSCHER (Der Schutz des Design, Diss. Zürich 1985 S. 113) geht davon aus, dass Teilrechte des umfassenden Herrschaftsrechtes insbesondere durch Rechtsgeschäft auf Dritte übertragen werden können, die damit praktisch eine Stellung erhielten, welche jener des Urhebers sehr ähnlich sei; aus Art. 9 URG ergebe sich, dass es sich dabei um eine eigentliche Übertragung und nicht nur um die Einräumung von Nutzungsrechten handle. Er verweist in diesem Zusammenhang auch auf Art. 381 OR . Im übrigen Immaterialgüterrecht ist die Frage ebenfalls umstritten. BLUM/PEDRAZZINI (a.a.O. S. 505/6) sind der Auffassung, dass der Lizenznehmer von Gesetzes wegen kein eigenes Recht hat, Dritte auf Patentverletzung zu belangen, dass er vom Lizenzgeber aber dazu beauftragt werden kann, sich diesfalls jedoch nicht auf eigenes, sondern auf das Recht des Auftraggebers stützt. Solche Vorbehalte machte das Bundesgericht unter Hinweis auf die Lehre auch im Markenrecht ( BGE 92 II 280 mit Zitaten). Aus ähnlichen Überlegungen ist heute ferner nach TROLLER (a.a.O. S. 1016) die Aktivlegitimation des Lizenznehmers bei Verletzung von Immaterialgüterrechten, die Gegenstand der Lizenz sind, zu verneinen. In seinen Ausführungen zu Art. 9 URG räumt dieser Autor (S. 775/76) indes ein, dass es sich wegen der vielfältigen Interessen und weil die Bestimmung Teilrechte abspalten und übertragen lässt, auch anders verhalten kann. W. OTT hält in seinen Beispielen zum Problem der unbestrittenen Sachlegitimation ebenfalls fest (in SJZ 78/1982, S. 23/24), dass der Lizenznehmer nach der herrschenden, aber bestrittenen Auffassung allein von Gesetzes wegen nicht befugt ist, wegen Verletzung eines Patentes, Musters, Modelles oder einer Marke zu klagen. c) Fragen kann sich im vorliegenden Fall daher bloss, ob die Klägerin durch den Vertrag mit der Stiftung Le Corbusier ausdrücklich zu Prozessen im eigenen Namen ermächtigt worden sei oder ob sich dies wenigstens aus dem Sinn und Zweck einer Bestimmung ergebe ( BGE 108 II 477 E. 1 und BGE 101 II 106 E. 3). Allgemeine Grundlage ist die Vereinbarung mit der Stiftung, dass der Klägerin das ausschliessliche Recht übertragen ist, die von Le Corbusier und seinen beiden Mitarbeitern entworfenen Möbel weltweit herzustellen und zu vertreiben (Ziff. I des Vertrages). Hiezu gehören u.a. die Modelle LC 1 (kleiner Stuhl mit Stahlgestell), BGE 113 II 190 S. 195 LC 2 und LC 3 (Polstersessel und Sofas mit Stahlgestell) und LC 4 (Liegestuhl mit Stahlrahmen). Nach Ziff. VI des Vertrages durfte die Klägerin in der Werbung auf die Garantie der Stiftung und ihre Ausschliesslichkeitsrechte Bezug nehmen. Es wurde ferner bestimmt, dass die Klägerin jede Nachahmung zu verfolgen habe und die Stiftung ihr dabei so gut wie möglich behilflich sein sollte. Diese Bestimmungen waren schon im Vertrag vom 1. Juni 1978 enthalten und stehen auch im geltenden vom 21. November 1982. Sie können nur dahin verstanden werden, dass die Klägerin nicht bloss verpflichtet wurde, jede Rechtsverletzung zu verfolgen, wie die Beklagte glauben machen will, sondern dass ihr damit auch alle notwendigen Befugnisse übertragen wurden, um sich Nachahmungen durch Dritte erwehren zu können. Die Stiftung behielt sich selber kein Klagerecht gegen Dritte vor; sie versprach vielmehr jede mögliche Unterstützung (toute assistance en son pouvoir), was ebenfalls nur heissen kann, dass die Klägerin ihre Rechte gegenüber Dritten in erster Linie selber zu verteidigen habe. Als Lizenznehmerin konnte die Klägerin somit bezüglich der ihr übertragenen Rechte in die Stellung der Urheber treten, sich folglich insoweit auf ein eigenes Klagerecht berufen. Dass der Lizenzvertrag sich nicht in einfachen Nutzungsrechten ohne urheberrechtliche Abwehrbefugnisse erschöpft, erhellt ferner aus den ausdrücklichen Bestätigungen von Frau Perriand und Frau Jeanneret, auf deren Erklärungen die Vorinstanz ergänzend verweist. I.2. Die Beklagte wirft dem Appellationshof in einer ausführlichen "Analyse der umstrittenen Möbelstücke" ferner vor, mit dem Gutachter zu Unrecht auf deren urheberrechtliche Schutzwürdigkeit geschlossen zu haben. Auch sie gehe davon aus, dass der Nützlichkeitszweck eines Gegenstandes die Schutzfähigkeit nicht ausschliesse; bei Gebrauchsgegenständen wie Möbeln bliebe wegen der Gebundenheit an die Nützlichkeitsfunktion jedoch wenig oder kein Platz für künstlerische Formgebung, wenn die gestalterische Individualität, wie hier, nur in der Kombination von Formen und Linien zur Geltung kommen könne. Der ästhetische Eindruck genüge nicht; es sei vielmehr zu untersuchen, welchen Einfluss die Funktion, das verwendete Material und der Stil der modernen Sachlichkeit auf die Gestaltung ausübten und welcher freie Raum dem Entwerfer noch verblieben sei. Die Schutzwürdigkeit der streitigen Modelle sei zudem unabhängig davon zu beurteilen, wer ihr Urheber sei; der Gutachter und ihm folgend die Vorinstanz BGE 113 II 190 S. 196 hätten die urheberrechtliche Individualität aber schon gestützt auf das Ansehen von Le Corbusier bejaht, ohne die Elemente der Modelle zu analysieren; mit dem Bekanntheitsgrad von Le Corbusier sei es nicht getan. Die Beklagte befasst sich sodann eingehend mit Einzelheiten der streitigen Modelle, insbesondere mit deren Elementen (Traggestell und Polster oder Kissen aus Leder), Proportionen und Flächen, wobei sie wiederholt auf "wichtige Dokumente" verweist, "die weder vom Gerichtsexperten noch vom Gericht gewürdigt worden" seien, im Berufungsverfahren aber noch berücksichtigt werden könnten, weil die Vorinstanz sie zu den Akten genommen habe. Die Übereinstimmung der Formelelemente bei den Sofas und den Polstersesseln beruhe auf der technischen Gestaltung des Gestells. Aus dem Bestreben Le Corbusiers, den Möbelbau auf die absolut notwendigen Elemente zurückzuführen, folge rechtlich, dass für die individuelle Formgebung überhaupt keine Möglichkeit bestehe; denn der ästhetische Effekt, den die Modelle LC 2 und LC 3 hervorriefen, sei zwingend mit deren technischen Elementen verbunden. Auch beim Liegestuhl LC 4 handle es sich um eine Lösung, bei der alle Elemente technisch unabdingbar gegeben seien; die Liegefläche entspreche der Körperform und die ästhetische Linie sei durch die Funktion dringend vorgegeben. a) Unter den Begriff des geschützten Werkes im Sinne von Art. 1 URG fallen konkrete Darstellungen, die nicht bloss Gemeingut enthalten, sondern insgesamt als Ergebnis geistigen Schaffens von individuellem Gepräge oder als Ausdruck einer neuen originellen Idee zu werten sind; Individualität oder Originalität gelten denn auch als Wesensmerkmale des urheberrechtlich geschützten Werkes. Am eindrücklichsten sind diese Schutzvoraussetzungen erfüllt, wenn das Werk den Stempel der Persönlichkeit seines Urhebers trägt, unverkennbar charakteristische Züge aufweist und sich von Darstellungen der gleichen Werksgattung deutlich unterscheidet. Das heisst nicht, an das Mass der geistigen Leistung, an den Grad der Individualität oder Originalität seien stets gleich hohe Anforderungen zu stellen. Das verlangte individuelle Gepräge hängt vielmehr vom Spielraum des Schöpfers ab; wo ihm von vornherein der Sache nach wenig Raum bleibt, wird der urheberrechtliche Schutz schon gewährt, wenn bloss ein geringer Grad selbständiger Tätigkeit vorliegt ( BGE 110 IV 105 , 106 II 73/74, BGE 100 II 172 , BGE 88 IV 126 und BGE 85 II 123 E. 3, je mit weiteren Hinweisen). BGE 113 II 190 S. 197 Das eine wie das andere ist auch bei Werken der angewandten Kunst zu beachten, die vom gesetzlichen Begriff miterfasst werden ( Art. 1 Abs. 2 URG am Ende). Der Gebrauchszweck steht dem Schutz eines Gegenstandes, der individuellen Charakter aufweist, nicht entgegen. Dies gilt gemäss Art. 5 URG und entgegen der Kritik von KUMMER (in Festschrift Troller S. 113 ff. und in ZBJV 117/1981 S. 156 ff.) an der Rechtsprechung des Bundesgerichts selbst für Gebrauchsgegenstände, die als Muster oder Modelle hinterlegt worden sind, aber die besonderen Schutzvoraussetzungen des URG ebenfalls erfüllen. Anders verhält es sich nur, wenn die Form des Gegenstandes durch seinen Gebrauchszweck derart bedingt oder seine Gestaltung durch vorbekannte Formen so eingeschränkt ist, dass für individuelle oder originelle Merkmale praktisch kein Raum bleibt. Trifft dies zu, so liegt ein rein handwerkliches Erzeugnis, selbst wenn es industriell hergestellt ist, und damit Gemeingut vor, das vom Schutz des Urheberrechts auszunehmen ist. Da sich eine gewisse Zurückhaltung rechtfertigt, ist darauf auch im Zweifel zu erkennen ( BGE 105 II 299 E. 3a mit Hinweisen). Für Sitz- und Liegemöbel besteht, wie aus den verschiedenen Stilrichtungen erhellt, eine Vielzahl möglicher Formen, weshalb sich nicht sagen lässt, ihre Gestaltung sei weitgehend oder sogar ausschliesslich durch den Zweck des Möbelstückes vorgegeben; das lässt sich im Ernst selbst von modernen Möbeln nicht behaupten. Eine Einschränkung ergibt sich dagegen aus den vorbestehenden Stilrichtungen, die für sich allein ebensowenig ausreichen, wie der ästhetische Wert oder die Bedeutung eines Werkes ( BGE 106 II 73 und BGE 75 II 360 mit Hinweisen). Dass Möbel den Schutz des URG gleichwohl geniessen können, unterliegt keinem Zweifel, zumal sie ständig weiterentwickelt werden; das ist grundsätzlich bereits in BGE 68 II 55 E. 2 anerkannt worden. Auch diesfalls genügt, dass über eine rein handwerkmässige oder industrielle Arbeit hinaus eine Leistung erbracht wird, die auf einer selbständigen, schöpferischen Tätigkeit beruht, sich als originell erweist und daher als künstlerisch zu werten ist. Das leuchtet namentlich dann ein, wenn ein Möbelstück sich von bisherigen Stilrichtungen klar abhebt und eine neue Richtung einleitet oder wesentlich mitbestimmt. b) Diese Voraussetzungen sind hier nach dem, was über die neuartige Entwicklung in der Architektur und in der Möbelkunst der 20er Jahre in tatsächlicher Hinsicht feststeht, erfüllt. Wie die Vorinstanz BGE 113 II 190 S. 198 zusammen mit dem Gutachter gestützt auf massgebende Quellen festhält, gilt Le Corbusier als einer der namhaftesten Vertreter einer neuen Stilrichtung, die als Funktionalismus bezeichnet wird, weil sie mit der Möblierung von Räumen höchste Funktionalität anstrebt, moderne Konstruktionstechnik in der Anwendung neuer Bauelemente, insbesondere des gebogenen Stahlrohrs, mit ästhetisch und sachlich befriedigenden Formen verbindet. Sachgerechte Verbindungen von Bauteilen sind zwar auch immer zweckmässig, aber nicht leichthin mit technisch- oder zweckbedingten Lösungen gleichzusetzen, weshalb sich entgegen der Auffassung der Beklagten nicht sagen lässt, die Gestaltung der streitigen Möbelstücke sei vom Gebrauchszweck der Gegenstände beherrscht; gleiche Sitzmöglichkeiten können nicht nur künstlerisch, sondern auch technisch auf sehr verschiedene Art gestaltet werden. Der künstlerische Eindruck der streitigen Modelle ist zudem nicht die notwendige oder gar die ausschliessliche Folge eines einzelnen Bauelementes; er wird vielmehr durch die Gestaltung, Linienführung und das Zusammenwirken aller Elemente bestimmt. Richtig ist bloss, dass die erstmalige, aber höchst einfache Verwendung des gebogenen Stahlrohrs dabei eine besondere Rolle spielt. Das ist auch zahlreichen weiteren Einwänden der Beklagten entgegenzuhalten, die in ihrer Berufung durchwegs darauf ausgeht, Einzelheiten der streitigen Modelle gesondert zu betrachten; das erhellt z.B. aus ihrem Vorwurf, "die Analyse der Formen und Linien der umstrittenen Möbel im Zusammenhang mit Funktion, Material und dem funktionalen Stil (Streben nach absoluter Sachlichkeit)" könne nicht, wie die Vorinstanz annehme, mit den Hinweisen ersetzt werden, dass Le Corbusier schöpferische Leistungen erbracht habe und seine Modelle in die Fachliteratur aufgenommen worden seien. Entscheidend ist der Eindruck, der durch die streitigen Modelle als Ganzes erweckt wird und ihre äussere Gestaltung charakterisiert, aber weder durch den Gebrauch noch durch die Herstellung der Möbel zwingend vorgegeben ist. Die Beklagte hatte keinen Anlass, die Konstruktion der Modelle, namentlich die Gestaltung der Traggestelle, aus technischen oder funktionellen Überlegungen bis ins einzelne nachzubilden (vgl. BGE 108 II 75 /76 und BGE 83 II 479 E. 2b). Davon kann umso weniger die Rede sein, als gerade den von der Beklagten eingereichten Katalogen zu entnehmen ist, dass auch sogenannte Stahlmöbel, wie die vom Gutachter angestellten Vergleiche zeigen, eine Vielfalt von Formen aufweisen können. BGE 113 II 190 S. 199 c) Daran scheitern auch die Vorbringen, mit denen die Beklagte die urheberrechtlich relevante Individualität der einzelnen Modelle zu bestreiten oder anzuzweifeln sucht, weil die Vorinstanz die Schutzwürdigkeit "ohne Analyse der Elemente" bejaht habe. Soweit sie sich dabei in tatsächlicher Hinsicht auf Dokumente beruft, die weder vom Gutachter noch vom Appellationshof bei Vergleichen der streitigen Möbelstücke mit anderen Modellen, Vorbildern oder Vorläufern berücksichtigt worden sind, erweisen sich ihre Ausführungen als blosse Kritik an der Beweiswürdigung der Vorinstanz und sind daher nicht zu hören. Das gilt insbesondere von ihren Einwänden, die den Polstersesseln LC 2 und LC 3 zugrunde liegende Idee einer kubischen Sitzform sei längst bekannt gewesen und die Idee des Traggestells in allen Varianten schon 1928 von den Vertretern des funktionalen Stils allgemein verwendet worden; für das Modell LC 3 und die Sofas fehle zudem der Beweis, dass Le Corbusier oder seine Mitarbeiter sie geschaffen hätten. Dies war im kantonalen Verfahren übrigens unbestritten; Gutachter und Vorinstanz liessen bloss offen, ob Le Corbusier und seine beiden Mitarbeiter "mit letzter Sicherheit" auch als Urheber der Sofas bezeichnet werden könnten. Gutachter und Vorinstanz hielten diese Frage aber zu Recht nicht für entscheidend, weil die beiden Sofas jedenfalls als Wiedergabe oder blosse Bearbeitung der Polstersessel im Sinne von Art. 13 Abs. 1 URG anzusehen sind, von denen sie sich nur durch die Zahl der Sitzplätze unterscheiden; das Grundmodell mit seinen charakteristischen Zügen ist auch in den Sofas deutlich wiederzuerkennen und ergibt hier wie dort den gleichen individuellen Gesamteindruck. Dass die Übereinstimmung der Formelemente bei den Sofas und bei den Sesseln auf die (gleiche) technische Gestaltung des Gestells zurückzuführen ist, anerkennt übrigens auch die Beklagte. Als Bezug von Kissen und Polster werden nach der Feststellung des Gutachters bei den nachgemachten Modellen teils auch Leder und Stoffe anderer Farben verwendet, die den massgebenden Gesamteindruck jedoch kaum beeinflussen. Für den Gutachter sind selbst kleine Unterschiede, z.B. in der Art des Stahlrohrs oder bei der oberen Aufhängung des Liegeteils am Gestell des Liegestuhls, nur bei genauerem Zusehen erkennbar. Der individuelle Charakter, der sich aus dem Gesamteindruck ergibt, fällt übrigens, wie der Gutachter mit Recht bemerkt, beim Liegestuhl LC 4 besonders auf. Für die Behauptung der Beklagten, dass er eine "klare technisch funktionale Weiterentwicklung des Modells BGE 113 II 190 S. 200 Thonet 1904" sei, ist weder dem Gutachten noch dem angefochtenen Urteil etwas zu entnehmen, und was den Versuch angeht, alle Elemente des Modells LC 4 als anatomisch oder technisch unabdingbar auszugeben, ist auf bereits Gesagtes zu verweisen. Die Schutzwürdigkeit der streitigen Möbelstücke unbekümmert um die persönlichen Feststellungen des Gutachters, dem die Vorinstanz nicht nur in rechtlicher, sondern auch in tatsächlicher Hinsicht gefolgt ist, weiterhin bestreiten zu wollen, steht der Beklagten umso weniger an, als sie ihre Erzeugnisse ausdrücklich als Kopien der Le Corbusier-Werke bezeichnet und dafür in ihrer Werbung während einiger Zeit sogar Abbildungen aus den Prospekten der Klägerin verwendet hat. Das eine wie das andere kann genau besehen nur dahin verstanden werden, dass die streitigen Modelle von Le Corbusier selbst nach Auffassung der Beklagten den individuellen Charakter während Jahrzehnten bewahrt haben, noch immer in moderne Räume passen und als "modern" angesehen werden. An der zeitlosen Gültigkeit eines Kunstwerkes kann man aber nicht nur seine Qualität, sondern seine Individualität und damit auch seine Schutzwürdigkeit am besten ermessen. II. II.1. Die Klägerin beharrt in ihrer Berufung darauf, dass auch der Stuhl LC 1 urheberrechtlich schützbar, in seiner Nachahmung durch die Beklagte jedenfalls unlauterer Wettbewerb im Sinn von Art. 1 Abs. 2 lit. d UWG zu erblicken und daher in das von ihr verlangte Verbot aufzunehmen sei. a) Der gerichtliche Gutachter, dessen Fachkenntnis von der Klägerin ausdrücklich anerkannt wird, hat am 5. Dezember 1984 alle streitigen Modelle der Klägerin und die entsprechenden Möbelstücke der Beklagten besichtigt und dabei festgestellt, dass diese mit den zum Gegenstand des Prozesses gemachten übereinstimmen. Gestützt auf die von ihm zitierten Quellen hat der Gutachter sodann nach allfälligen "Vorläufern" gesucht, welche die urheberrechtlich relevante Individualität der streitigen Modelle in Frage stellen könnten. Bezüglich des Modells LC 1 gelangte er zum Schluss, dass dazu Vorbilder mit einer gewissen Ähnlichkeit bestanden, nämlich der sogenannte Wassily-Stuhl von Breuer und der Colonial Chair, welche die von Le Corbusier geschaffene Form als nicht mehr ausreichend originell im Sinn der Praxis erscheinen liessen. BGE 113 II 190 S. 201 Der Vorinstanz ist nicht entgangen, dass der Gutachter bei diesem Schluss gezögert hat; sie hielt seine Bedenken vielmehr aus eigener Überzeugung für begründet, weil sie ebenfalls fand, dass es sich beim Modell LC 1 zwar nicht um eine gewöhnliche Möbelkonstruktion handle, ihm die unerlässiche Individualität nach ähnlichen Vorgängern aber doch abzusprechen sei. Gewiss durfte die Vorinstanz das Gutachten in tatsächlicher Hinsicht frei würdigen und war es nicht Sache des Gutachters, Rechtsfragen abschliessend zu beurteilen ( BGE 111 II 75 unten). Sie hatte aber offenbar keinen Anlass, sich über die Bedenken des Gutachters hinwegzusetzen, weshalb sie ohne Verletzung von Bundesrecht nach der in BGE 105 II 300 aufgestellten Regel im Zweifel auf ein industrielles Erzeugnis schliessen durfte. Dass die Vorinstanz, die wie der Gutachter von der hievor unter E. I/2a angeführten Praxis ausgegangen ist, Rechtsbegriffe oder Schutzvoraussetzungen verkannt habe, macht die Klägerin nicht geltend; sie will vielmehr Einzelheiten des Modells LC 1 in den Vergleichen mit Vorgängern anders gewürdigt wissen als das gerichtliche Gutachten, verfällt dabei aber teils in blosse Kritik an der Beweiswürdigung, teils in die gleiche verfehlte Betrachtungsweise wie die Beklagte, weil sie ebenfalls kleinere Unterschiede, die "schon das zweite Hinsehen" erkennen lasse, statt den Gesamteindruck für massgebend hält. Das angefochtene Urteil ist daher insoweit nicht zu beanstanden. b) Nicht beizupflichten ist der Vorinstanz dagegen in der Annahme, dass die Nachmachung des Modells LC 1 durch die Beklagte auch vom Wettbewerbsrecht nicht erfasst werde. Die Klägerin hat sich dazu im kantonalen Verfahren zwar nur dürftig geäussert, und vor Bundesgericht beruft sie sich einzig auf Art. 1 Abs. 2 lit. d UWG , weil die Beklagte einen Stuhl vertreibe, der die Form und Ausgestaltung des Modells LC 1 aufweise, und damit eine gegen Treu und Glauben verstossende Verwechslungsgefahr herbeiführe. Dass nicht nur die Kopie des Modells LC 1, sondern sämtliche streitigen Modelle, die von der Beklagten vertrieben werden, als Nachmachungen oder Nachahmungen anzusehen sind, erhellt indes schon aus dem Gutachten und ist übrigens unbestritten, da die Beklagte ihre Erzeugnisse ausdrücklich als Kopien der Le Corbusier-Werke bezeichnet und während einiger Zeit sogar unter dieser Bezeichnung dafür geworben hat. Wie in BGE 104 II 334 gestützt auf die in Art. 1 Abs. 1 UWG enthaltene Generalklausel ausgeführt wurde, ist die systematische BGE 113 II 190 S. 202 Häufung raffinierter Nachahmungen "bis an die Grenze des Unzulässigen" mit Treu und Glauben ebensowenig zu vereinbaren, wie eine einmalige genaue Nachahmung, wenn sie wie diese darauf angelegt ist, den guten Ruf des Konkurrenzerzeugnisses in schmarotzerischer Weise auszubeuten. Das wurde seither für systematisches Heranschleichen an fremde Ausstattungen wiederholt bestätigt ( BGE 108 II 74 /75 und 332, BGE 105 II 302 Nr. 49). Im Grundsatzentscheid, in dem es um BATA-Stiefel ging, wurden die gegebenen Ähnlichkeiten mit nicht geschützten Modellen dafür zwar als ungenügend erachtet. Vorliegend handelt es sich aber unstreitig um sklavische Nachbildungen ganzer Serien, wobei für die Modelle LC 2 bis LC 4 sogar Widerrechtlichkeit nach URG gegeben ist. Es ist offensichtlich, dass Nachahmer durch die anhaltende Nachfrage nach Le Corbusier-Modellen bewogen werden, die äussere Gestaltung der Modelle in allen Einzelheiten zu übernehmen, um von ihrem Ruf ebenfalls profitieren zu können. Das deckt sich mit dem Vorhalt der Beklagten, dass es der Stiftung Le Corbusier bisher nicht gelungen sei, Plagiate zu verhindern. Unter diesen Umständen rechtfertigt es sich, das Vorgehen der Beklagten als Verstoss gegen Art. 1 Abs. 1 und Abs. 2 lit. d UWG zu bezeichnen, und zwar auch mit Bezug auf das Modell LC 1, für das urheberrechtlich kein Schutz besteht. Das der Beklagten auferlegte Verbot ist daher mit der Nummer dieses Modells zu ergänzen. II.2. Die Ergänzung hat auch eine Erhöhung des Schadenersatzes zur Folge. Der Appellationshof schätzte den Gewinn, welcher der Klägerin durch die widerrechtlichen Möbelverkäufe der Beklagten entgangen ist, auf Fr. 38'425.--. Um das Verfahren nicht zu belasten, hat die Klägerin sich mit dieser Schätzung abgefunden; sie ergibt im Verhältnis des Umsatzes, der auf das Modell LC 1 entfällt, eine Erhöhung um Fr. 5'200.--. Die Beklagte wendet dagegen an sich nichts ein; sie hält die Schadensberechnungen vielmehr für gegenstandslos, weil die Klägerin weder mit der urheberrechtlichen noch wettbewerbsrechtlichen Begründung Erfolg haben könne. Ist aber davon auszugehen, dass Schätzung und Umrechnung unbestritten sind, so ist dem Antrag der Klägerin auf Erhöhung des Schadenersatzes um Fr. 5'200.-- zu entsprechen. Dispositiv Demnach erkennt das Bundesgericht: 1. Die Berufung der Klägerin wird gutgeheissen, soweit darauf einzutreten ist, und das Urteil des Appellationshofes (II. Zivilkammer) BGE 113 II 190 S. 203 des Kantons Bern vom 14. August 1986 wird aufgehoben. 2. Es wird der Beklagten verboten, die in ihrem Prospekt vom Januar 1982 angeführten Stühle, Polstersessel und Sofas feilzuhalten, zu verkaufen oder sonstwie in Verkehr zu bringen... 3. Die Beklagte wird verpflichtet, der Klägerin Fr. 75'200.-- zu bezahlen. 4. Die Berufung der Beklagten wird abgewiesen,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